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A8771">
      <w:pPr>
        <w:keepNext w:val="0"/>
        <w:keepLines w:val="0"/>
        <w:widowControl/>
        <w:suppressLineNumbers w:val="0"/>
        <w:jc w:val="center"/>
      </w:pPr>
      <w:bookmarkStart w:id="0" w:name="_GoBack"/>
      <w:bookmarkEnd w:id="0"/>
      <w:r>
        <w:rPr>
          <w:rFonts w:ascii="方正小标宋简体" w:hAnsi="方正小标宋简体" w:eastAsia="方正小标宋简体" w:cs="方正小标宋简体"/>
          <w:color w:val="000000"/>
          <w:kern w:val="0"/>
          <w:sz w:val="43"/>
          <w:szCs w:val="43"/>
          <w:lang w:val="en-US" w:eastAsia="zh-CN" w:bidi="ar"/>
        </w:rPr>
        <w:t>关于</w:t>
      </w:r>
      <w:r>
        <w:rPr>
          <w:rFonts w:hint="default" w:ascii="Times New Roman" w:hAnsi="Times New Roman" w:eastAsia="宋体" w:cs="Times New Roman"/>
          <w:color w:val="000000"/>
          <w:kern w:val="0"/>
          <w:sz w:val="43"/>
          <w:szCs w:val="43"/>
          <w:lang w:val="en-US" w:eastAsia="zh-CN" w:bidi="ar"/>
        </w:rPr>
        <w:t>202</w:t>
      </w:r>
      <w:r>
        <w:rPr>
          <w:rFonts w:hint="eastAsia" w:ascii="Times New Roman" w:hAnsi="Times New Roman" w:eastAsia="宋体" w:cs="Times New Roman"/>
          <w:color w:val="000000"/>
          <w:kern w:val="0"/>
          <w:sz w:val="43"/>
          <w:szCs w:val="43"/>
          <w:lang w:val="en-US" w:eastAsia="zh-CN" w:bidi="ar"/>
        </w:rPr>
        <w:t>5</w:t>
      </w:r>
      <w:r>
        <w:rPr>
          <w:rFonts w:hint="eastAsia" w:ascii="方正小标宋简体" w:hAnsi="方正小标宋简体" w:eastAsia="方正小标宋简体" w:cs="方正小标宋简体"/>
          <w:color w:val="000000"/>
          <w:kern w:val="0"/>
          <w:sz w:val="43"/>
          <w:szCs w:val="43"/>
          <w:lang w:val="en-US" w:eastAsia="zh-CN" w:bidi="ar"/>
        </w:rPr>
        <w:t>—</w:t>
      </w:r>
      <w:r>
        <w:rPr>
          <w:rFonts w:hint="default" w:ascii="Times New Roman" w:hAnsi="Times New Roman" w:eastAsia="宋体" w:cs="Times New Roman"/>
          <w:color w:val="000000"/>
          <w:kern w:val="0"/>
          <w:sz w:val="43"/>
          <w:szCs w:val="43"/>
          <w:lang w:val="en-US" w:eastAsia="zh-CN" w:bidi="ar"/>
        </w:rPr>
        <w:t>202</w:t>
      </w:r>
      <w:r>
        <w:rPr>
          <w:rFonts w:hint="eastAsia" w:ascii="Times New Roman" w:hAnsi="Times New Roman" w:eastAsia="宋体" w:cs="Times New Roman"/>
          <w:color w:val="000000"/>
          <w:kern w:val="0"/>
          <w:sz w:val="43"/>
          <w:szCs w:val="43"/>
          <w:lang w:val="en-US" w:eastAsia="zh-CN" w:bidi="ar"/>
        </w:rPr>
        <w:t>6</w:t>
      </w:r>
      <w:r>
        <w:rPr>
          <w:rFonts w:hint="eastAsia" w:ascii="方正小标宋简体" w:hAnsi="方正小标宋简体" w:eastAsia="方正小标宋简体" w:cs="方正小标宋简体"/>
          <w:color w:val="000000"/>
          <w:kern w:val="0"/>
          <w:sz w:val="43"/>
          <w:szCs w:val="43"/>
          <w:lang w:val="en-US" w:eastAsia="zh-CN" w:bidi="ar"/>
        </w:rPr>
        <w:t>年度上海市大学生志愿服务</w:t>
      </w:r>
    </w:p>
    <w:p w14:paraId="3C432202">
      <w:pPr>
        <w:keepNext w:val="0"/>
        <w:keepLines w:val="0"/>
        <w:widowControl/>
        <w:suppressLineNumbers w:val="0"/>
        <w:jc w:val="center"/>
      </w:pPr>
      <w:r>
        <w:rPr>
          <w:rFonts w:hint="eastAsia" w:ascii="方正小标宋简体" w:hAnsi="方正小标宋简体" w:eastAsia="方正小标宋简体" w:cs="方正小标宋简体"/>
          <w:color w:val="000000"/>
          <w:kern w:val="0"/>
          <w:sz w:val="43"/>
          <w:szCs w:val="43"/>
          <w:lang w:val="en-US" w:eastAsia="zh-CN" w:bidi="ar"/>
        </w:rPr>
        <w:t>西部计划拟录取（补录）结果的公示</w:t>
      </w:r>
    </w:p>
    <w:p w14:paraId="7024E330">
      <w:pPr>
        <w:keepNext w:val="0"/>
        <w:keepLines w:val="0"/>
        <w:widowControl/>
        <w:suppressLineNumbers w:val="0"/>
        <w:ind w:firstLine="620"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根据《关于印发&lt;2025—2026年度大学生志愿服务西部计划实施方案&gt;的通知》（中青联发〔2025〕2号）、《共青团中央办公厅关于加强大学生志愿服务西部计划工作纪律的通知》（中青办通字〔2024〕51号）和《关于做好2025—2026年度西部计划志愿者招募派遣工作的通知》（全国项目办发〔2025〕1号）文件精神，上海工程技术大学大学生志愿服务西部计划项目管理办公室严把标准、严格程序、严守纪律，择优选拔有志于报效祖国、建功西部的大学生。</w:t>
      </w:r>
    </w:p>
    <w:p w14:paraId="397D0CC1">
      <w:pPr>
        <w:keepNext w:val="0"/>
        <w:keepLines w:val="0"/>
        <w:widowControl/>
        <w:suppressLineNumbers w:val="0"/>
        <w:ind w:firstLine="620"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经资格审核、校内初试、市级复试等环节综合选拔评定，拟录取（补录）我校3位学生（名单详见附件）为本年度上海市大学生志愿服务西部计划志愿者。</w:t>
      </w:r>
    </w:p>
    <w:p w14:paraId="10EF7584">
      <w:pPr>
        <w:keepNext w:val="0"/>
        <w:keepLines w:val="0"/>
        <w:widowControl/>
        <w:suppressLineNumbers w:val="0"/>
        <w:ind w:firstLine="620"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现根据评选工作有关程序，对候选对象以公示的形式进行公开评议，广泛征询意见。如有异议，可在2025年7月5日18时前用真实姓名以电话、传真或者信函等形式将意见反馈至上海工程技术大学大学生志愿服务西部计划项目管理办公室（信函以到达日邮戳为准）。</w:t>
      </w:r>
    </w:p>
    <w:p w14:paraId="3AE03853">
      <w:pPr>
        <w:keepNext w:val="0"/>
        <w:keepLines w:val="0"/>
        <w:widowControl/>
        <w:suppressLineNumbers w:val="0"/>
        <w:ind w:firstLine="620"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联系人：徐靓雯</w:t>
      </w:r>
    </w:p>
    <w:p w14:paraId="23FBB2F7">
      <w:pPr>
        <w:keepNext w:val="0"/>
        <w:keepLines w:val="0"/>
        <w:widowControl/>
        <w:suppressLineNumbers w:val="0"/>
        <w:ind w:firstLine="620"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联系地址：龙腾路333号师生活动中心A301室（邮编：201620）</w:t>
      </w:r>
    </w:p>
    <w:p w14:paraId="7E50A5DF">
      <w:pPr>
        <w:keepNext w:val="0"/>
        <w:keepLines w:val="0"/>
        <w:widowControl/>
        <w:suppressLineNumbers w:val="0"/>
        <w:ind w:firstLine="620"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联系电话：67791403</w:t>
      </w:r>
    </w:p>
    <w:p w14:paraId="5082AADD">
      <w:pPr>
        <w:keepNext w:val="0"/>
        <w:keepLines w:val="0"/>
        <w:widowControl/>
        <w:suppressLineNumbers w:val="0"/>
        <w:ind w:firstLine="620" w:firstLineChars="200"/>
        <w:jc w:val="both"/>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特此公示。</w:t>
      </w:r>
    </w:p>
    <w:p w14:paraId="5549E641">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附件：2025—2026年度上海工程技术大学志愿服务西部计划拟录取名单 </w:t>
      </w:r>
    </w:p>
    <w:p w14:paraId="6F22EB43">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14:paraId="3D61E4A0">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14:paraId="3D2D94D6">
      <w:pPr>
        <w:keepNext w:val="0"/>
        <w:keepLines w:val="0"/>
        <w:widowControl/>
        <w:suppressLineNumbers w:val="0"/>
        <w:jc w:val="right"/>
      </w:pPr>
      <w:r>
        <w:rPr>
          <w:rFonts w:hint="eastAsia" w:ascii="仿宋_GB2312" w:hAnsi="宋体" w:eastAsia="仿宋_GB2312" w:cs="仿宋_GB2312"/>
          <w:color w:val="000000"/>
          <w:kern w:val="0"/>
          <w:sz w:val="31"/>
          <w:szCs w:val="31"/>
          <w:lang w:val="en-US" w:eastAsia="zh-CN" w:bidi="ar"/>
        </w:rPr>
        <w:t>上海工程技术大学大学生志愿服务西部计划项目管理办公室</w:t>
      </w:r>
    </w:p>
    <w:p w14:paraId="4230CF3C">
      <w:pPr>
        <w:keepNext w:val="0"/>
        <w:keepLines w:val="0"/>
        <w:widowControl/>
        <w:suppressLineNumbers w:val="0"/>
        <w:jc w:val="right"/>
      </w:pPr>
      <w:r>
        <w:rPr>
          <w:rFonts w:hint="eastAsia" w:ascii="仿宋_GB2312" w:hAnsi="宋体" w:eastAsia="仿宋_GB2312" w:cs="仿宋_GB2312"/>
          <w:color w:val="000000"/>
          <w:kern w:val="0"/>
          <w:sz w:val="31"/>
          <w:szCs w:val="31"/>
          <w:lang w:val="en-US" w:eastAsia="zh-CN" w:bidi="ar"/>
        </w:rPr>
        <w:t>2025年7月1日</w:t>
      </w:r>
    </w:p>
    <w:p w14:paraId="32F6F270">
      <w:pPr>
        <w:sectPr>
          <w:pgSz w:w="11906" w:h="16838"/>
          <w:pgMar w:top="1440" w:right="1800" w:bottom="1440" w:left="1800" w:header="851" w:footer="992" w:gutter="0"/>
          <w:cols w:space="425" w:num="1"/>
          <w:docGrid w:type="lines" w:linePitch="312" w:charSpace="0"/>
        </w:sectPr>
      </w:pPr>
    </w:p>
    <w:p w14:paraId="2C684F42">
      <w:pPr>
        <w:spacing w:before="101" w:line="230" w:lineRule="auto"/>
        <w:ind w:left="140"/>
        <w:rPr>
          <w:rFonts w:ascii="黑体" w:hAnsi="黑体" w:eastAsia="黑体" w:cs="黑体"/>
          <w:sz w:val="31"/>
          <w:szCs w:val="31"/>
        </w:rPr>
      </w:pPr>
      <w:r>
        <w:rPr>
          <w:rFonts w:ascii="黑体" w:hAnsi="黑体" w:eastAsia="黑体" w:cs="黑体"/>
          <w:spacing w:val="-6"/>
          <w:sz w:val="31"/>
          <w:szCs w:val="31"/>
        </w:rPr>
        <w:t>附件</w:t>
      </w:r>
    </w:p>
    <w:p w14:paraId="1A6E2C56">
      <w:pPr>
        <w:spacing w:line="244" w:lineRule="auto"/>
        <w:rPr>
          <w:rFonts w:ascii="Arial"/>
          <w:sz w:val="21"/>
        </w:rPr>
      </w:pPr>
    </w:p>
    <w:p w14:paraId="0D5A5F11">
      <w:pPr>
        <w:spacing w:before="140" w:line="230" w:lineRule="auto"/>
        <w:ind w:right="653"/>
        <w:jc w:val="center"/>
        <w:rPr>
          <w:rFonts w:ascii="宋体" w:hAnsi="宋体" w:eastAsia="宋体" w:cs="宋体"/>
          <w:spacing w:val="14"/>
          <w:sz w:val="40"/>
          <w:szCs w:val="40"/>
        </w:rPr>
      </w:pPr>
      <w:r>
        <w:rPr>
          <w:rFonts w:hint="eastAsia" w:ascii="Times New Roman" w:hAnsi="Times New Roman" w:eastAsia="宋体" w:cs="Times New Roman"/>
          <w:spacing w:val="4"/>
          <w:sz w:val="40"/>
          <w:szCs w:val="40"/>
          <w:lang w:val="en-US" w:eastAsia="zh-CN"/>
        </w:rPr>
        <w:t xml:space="preserve">  </w:t>
      </w:r>
      <w:r>
        <w:rPr>
          <w:rFonts w:ascii="Times New Roman" w:hAnsi="Times New Roman" w:eastAsia="Times New Roman" w:cs="Times New Roman"/>
          <w:spacing w:val="4"/>
          <w:sz w:val="40"/>
          <w:szCs w:val="40"/>
        </w:rPr>
        <w:t>2025</w:t>
      </w:r>
      <w:r>
        <w:rPr>
          <w:rFonts w:ascii="宋体" w:hAnsi="宋体" w:eastAsia="宋体" w:cs="宋体"/>
          <w:b/>
          <w:bCs/>
          <w:spacing w:val="4"/>
          <w:sz w:val="40"/>
          <w:szCs w:val="40"/>
        </w:rPr>
        <w:t>—</w:t>
      </w:r>
      <w:r>
        <w:rPr>
          <w:rFonts w:ascii="Times New Roman" w:hAnsi="Times New Roman" w:eastAsia="Times New Roman" w:cs="Times New Roman"/>
          <w:spacing w:val="4"/>
          <w:sz w:val="40"/>
          <w:szCs w:val="40"/>
        </w:rPr>
        <w:t xml:space="preserve">2026 </w:t>
      </w:r>
      <w:r>
        <w:rPr>
          <w:rFonts w:ascii="宋体" w:hAnsi="宋体" w:eastAsia="宋体" w:cs="宋体"/>
          <w:b/>
          <w:bCs/>
          <w:spacing w:val="4"/>
          <w:sz w:val="40"/>
          <w:szCs w:val="40"/>
        </w:rPr>
        <w:t>年度上海市大学生志愿服务</w:t>
      </w:r>
    </w:p>
    <w:p w14:paraId="4484EAB8">
      <w:pPr>
        <w:spacing w:before="140" w:line="230" w:lineRule="auto"/>
        <w:ind w:left="1826" w:right="653" w:hanging="1164"/>
        <w:jc w:val="center"/>
        <w:rPr>
          <w:rFonts w:ascii="宋体" w:hAnsi="宋体" w:eastAsia="宋体" w:cs="宋体"/>
          <w:b/>
          <w:bCs/>
          <w:spacing w:val="3"/>
          <w:sz w:val="40"/>
          <w:szCs w:val="40"/>
        </w:rPr>
      </w:pPr>
      <w:r>
        <w:rPr>
          <w:rFonts w:ascii="宋体" w:hAnsi="宋体" w:eastAsia="宋体" w:cs="宋体"/>
          <w:b/>
          <w:bCs/>
          <w:spacing w:val="3"/>
          <w:sz w:val="40"/>
          <w:szCs w:val="40"/>
        </w:rPr>
        <w:t>西部计划拟录取</w:t>
      </w:r>
      <w:r>
        <w:rPr>
          <w:rFonts w:hint="eastAsia" w:ascii="宋体" w:hAnsi="宋体" w:eastAsia="宋体" w:cs="宋体"/>
          <w:b/>
          <w:bCs/>
          <w:spacing w:val="3"/>
          <w:sz w:val="40"/>
          <w:szCs w:val="40"/>
          <w:lang w:eastAsia="zh-CN"/>
        </w:rPr>
        <w:t>（</w:t>
      </w:r>
      <w:r>
        <w:rPr>
          <w:rFonts w:hint="eastAsia" w:ascii="宋体" w:hAnsi="宋体" w:eastAsia="宋体" w:cs="宋体"/>
          <w:b/>
          <w:bCs/>
          <w:spacing w:val="3"/>
          <w:sz w:val="40"/>
          <w:szCs w:val="40"/>
          <w:lang w:val="en-US" w:eastAsia="zh-CN"/>
        </w:rPr>
        <w:t>补录</w:t>
      </w:r>
      <w:r>
        <w:rPr>
          <w:rFonts w:hint="eastAsia" w:ascii="宋体" w:hAnsi="宋体" w:eastAsia="宋体" w:cs="宋体"/>
          <w:b/>
          <w:bCs/>
          <w:spacing w:val="3"/>
          <w:sz w:val="40"/>
          <w:szCs w:val="40"/>
          <w:lang w:eastAsia="zh-CN"/>
        </w:rPr>
        <w:t>）</w:t>
      </w:r>
      <w:r>
        <w:rPr>
          <w:rFonts w:ascii="宋体" w:hAnsi="宋体" w:eastAsia="宋体" w:cs="宋体"/>
          <w:b/>
          <w:bCs/>
          <w:spacing w:val="3"/>
          <w:sz w:val="40"/>
          <w:szCs w:val="40"/>
        </w:rPr>
        <w:t>志愿者名单</w:t>
      </w:r>
    </w:p>
    <w:p w14:paraId="14BC8293">
      <w:pPr>
        <w:spacing w:before="140" w:line="230" w:lineRule="auto"/>
        <w:ind w:left="1826" w:right="653" w:hanging="1164"/>
        <w:jc w:val="center"/>
        <w:rPr>
          <w:rFonts w:ascii="宋体" w:hAnsi="宋体" w:eastAsia="宋体" w:cs="宋体"/>
          <w:b/>
          <w:bCs/>
          <w:spacing w:val="3"/>
          <w:sz w:val="40"/>
          <w:szCs w:val="40"/>
        </w:rPr>
      </w:pPr>
    </w:p>
    <w:tbl>
      <w:tblPr>
        <w:tblStyle w:val="3"/>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600"/>
        <w:gridCol w:w="700"/>
        <w:gridCol w:w="1511"/>
        <w:gridCol w:w="1956"/>
        <w:gridCol w:w="2622"/>
      </w:tblGrid>
      <w:tr w14:paraId="19AE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14:paraId="6686BB72">
            <w:pPr>
              <w:spacing w:before="27"/>
              <w:jc w:val="center"/>
              <w:rPr>
                <w:rFonts w:hint="eastAsia" w:eastAsiaTheme="minorEastAsia"/>
                <w:b/>
                <w:bCs/>
                <w:vertAlign w:val="baseline"/>
                <w:lang w:val="en-US" w:eastAsia="zh-CN"/>
              </w:rPr>
            </w:pPr>
            <w:r>
              <w:rPr>
                <w:rFonts w:hint="eastAsia"/>
                <w:b/>
                <w:bCs/>
                <w:vertAlign w:val="baseline"/>
                <w:lang w:val="en-US" w:eastAsia="zh-CN"/>
              </w:rPr>
              <w:t>序号</w:t>
            </w:r>
          </w:p>
        </w:tc>
        <w:tc>
          <w:tcPr>
            <w:tcW w:w="1600" w:type="dxa"/>
          </w:tcPr>
          <w:p w14:paraId="3A8D10F3">
            <w:pPr>
              <w:spacing w:before="27"/>
              <w:jc w:val="center"/>
              <w:rPr>
                <w:rFonts w:hint="eastAsia" w:eastAsiaTheme="minorEastAsia"/>
                <w:b/>
                <w:bCs/>
                <w:vertAlign w:val="baseline"/>
                <w:lang w:val="en-US" w:eastAsia="zh-CN"/>
              </w:rPr>
            </w:pPr>
            <w:r>
              <w:rPr>
                <w:rFonts w:hint="eastAsia"/>
                <w:b/>
                <w:bCs/>
                <w:vertAlign w:val="baseline"/>
                <w:lang w:val="en-US" w:eastAsia="zh-CN"/>
              </w:rPr>
              <w:t>姓名</w:t>
            </w:r>
          </w:p>
        </w:tc>
        <w:tc>
          <w:tcPr>
            <w:tcW w:w="700" w:type="dxa"/>
          </w:tcPr>
          <w:p w14:paraId="75A2A503">
            <w:pPr>
              <w:spacing w:before="27"/>
              <w:jc w:val="center"/>
              <w:rPr>
                <w:rFonts w:hint="eastAsia" w:eastAsiaTheme="minorEastAsia"/>
                <w:b/>
                <w:bCs/>
                <w:vertAlign w:val="baseline"/>
                <w:lang w:val="en-US" w:eastAsia="zh-CN"/>
              </w:rPr>
            </w:pPr>
            <w:r>
              <w:rPr>
                <w:rFonts w:hint="eastAsia"/>
                <w:b/>
                <w:bCs/>
                <w:vertAlign w:val="baseline"/>
                <w:lang w:val="en-US" w:eastAsia="zh-CN"/>
              </w:rPr>
              <w:t>性别</w:t>
            </w:r>
          </w:p>
        </w:tc>
        <w:tc>
          <w:tcPr>
            <w:tcW w:w="1511" w:type="dxa"/>
          </w:tcPr>
          <w:p w14:paraId="113997BA">
            <w:pPr>
              <w:spacing w:before="27"/>
              <w:jc w:val="center"/>
              <w:rPr>
                <w:rFonts w:hint="default" w:eastAsiaTheme="minorEastAsia"/>
                <w:b/>
                <w:bCs/>
                <w:vertAlign w:val="baseline"/>
                <w:lang w:val="en-US" w:eastAsia="zh-CN"/>
              </w:rPr>
            </w:pPr>
            <w:r>
              <w:rPr>
                <w:rFonts w:hint="eastAsia"/>
                <w:b/>
                <w:bCs/>
                <w:vertAlign w:val="baseline"/>
                <w:lang w:val="en-US" w:eastAsia="zh-CN"/>
              </w:rPr>
              <w:t>政治面貌</w:t>
            </w:r>
          </w:p>
        </w:tc>
        <w:tc>
          <w:tcPr>
            <w:tcW w:w="1956" w:type="dxa"/>
          </w:tcPr>
          <w:p w14:paraId="75D5ABAD">
            <w:pPr>
              <w:spacing w:before="27"/>
              <w:jc w:val="center"/>
              <w:rPr>
                <w:rFonts w:hint="eastAsia" w:eastAsiaTheme="minorEastAsia"/>
                <w:b/>
                <w:bCs/>
                <w:vertAlign w:val="baseline"/>
                <w:lang w:val="en-US" w:eastAsia="zh-CN"/>
              </w:rPr>
            </w:pPr>
            <w:r>
              <w:rPr>
                <w:rFonts w:hint="eastAsia"/>
                <w:b/>
                <w:bCs/>
                <w:vertAlign w:val="baseline"/>
                <w:lang w:val="en-US" w:eastAsia="zh-CN"/>
              </w:rPr>
              <w:t>学院</w:t>
            </w:r>
          </w:p>
        </w:tc>
        <w:tc>
          <w:tcPr>
            <w:tcW w:w="2622" w:type="dxa"/>
          </w:tcPr>
          <w:p w14:paraId="7C323DE5">
            <w:pPr>
              <w:spacing w:before="27"/>
              <w:jc w:val="center"/>
              <w:rPr>
                <w:rFonts w:hint="default"/>
                <w:b/>
                <w:bCs/>
                <w:vertAlign w:val="baseline"/>
                <w:lang w:val="en-US" w:eastAsia="zh-CN"/>
              </w:rPr>
            </w:pPr>
            <w:r>
              <w:rPr>
                <w:rFonts w:hint="eastAsia"/>
                <w:b/>
                <w:bCs/>
                <w:vertAlign w:val="baseline"/>
                <w:lang w:val="en-US" w:eastAsia="zh-CN"/>
              </w:rPr>
              <w:t>拟录取服务地</w:t>
            </w:r>
          </w:p>
        </w:tc>
      </w:tr>
      <w:tr w14:paraId="7716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4F6C24DC">
            <w:pPr>
              <w:spacing w:before="27"/>
              <w:jc w:val="center"/>
              <w:rPr>
                <w:rFonts w:hint="default"/>
                <w:sz w:val="28"/>
                <w:szCs w:val="36"/>
                <w:vertAlign w:val="baseline"/>
                <w:lang w:val="en-US" w:eastAsia="zh-CN"/>
              </w:rPr>
            </w:pPr>
            <w:r>
              <w:rPr>
                <w:rFonts w:hint="eastAsia"/>
                <w:sz w:val="28"/>
                <w:szCs w:val="36"/>
                <w:vertAlign w:val="baseline"/>
                <w:lang w:val="en-US" w:eastAsia="zh-CN"/>
              </w:rPr>
              <w:t>1</w:t>
            </w:r>
          </w:p>
        </w:tc>
        <w:tc>
          <w:tcPr>
            <w:tcW w:w="1600" w:type="dxa"/>
            <w:vAlign w:val="center"/>
          </w:tcPr>
          <w:p w14:paraId="7D74851B">
            <w:pPr>
              <w:spacing w:before="27"/>
              <w:jc w:val="center"/>
              <w:rPr>
                <w:rFonts w:hint="eastAsia"/>
                <w:vertAlign w:val="baseline"/>
                <w:lang w:val="en-US" w:eastAsia="zh-CN"/>
              </w:rPr>
            </w:pPr>
            <w:r>
              <w:rPr>
                <w:rFonts w:ascii="仿宋_GB2312" w:hAnsi="仿宋_GB2312" w:eastAsia="仿宋_GB2312" w:cs="仿宋_GB2312"/>
                <w:b w:val="0"/>
                <w:bCs w:val="0"/>
                <w:color w:val="000000"/>
                <w:sz w:val="22"/>
                <w:szCs w:val="22"/>
              </w:rPr>
              <w:t>地力亚尔</w:t>
            </w:r>
            <w:r>
              <w:rPr>
                <w:rFonts w:ascii="TimesNewRomanPSMT" w:hAnsi="TimesNewRomanPSMT" w:eastAsia="TimesNewRomanPSMT" w:cs="TimesNewRomanPSMT"/>
                <w:b w:val="0"/>
                <w:bCs w:val="0"/>
                <w:color w:val="000000"/>
                <w:sz w:val="22"/>
                <w:szCs w:val="22"/>
              </w:rPr>
              <w:t>·</w:t>
            </w:r>
            <w:r>
              <w:rPr>
                <w:rFonts w:ascii="仿宋_GB2312" w:hAnsi="仿宋_GB2312" w:eastAsia="仿宋_GB2312" w:cs="仿宋_GB2312"/>
                <w:b w:val="0"/>
                <w:bCs w:val="0"/>
                <w:color w:val="000000"/>
                <w:sz w:val="22"/>
                <w:szCs w:val="22"/>
              </w:rPr>
              <w:t>阿不力孜</w:t>
            </w:r>
          </w:p>
        </w:tc>
        <w:tc>
          <w:tcPr>
            <w:tcW w:w="700" w:type="dxa"/>
            <w:vAlign w:val="center"/>
          </w:tcPr>
          <w:p w14:paraId="7FE7999A">
            <w:pPr>
              <w:spacing w:before="27"/>
              <w:jc w:val="center"/>
              <w:rPr>
                <w:rFonts w:hint="eastAsia"/>
                <w:vertAlign w:val="baseline"/>
                <w:lang w:val="en-US" w:eastAsia="zh-CN"/>
              </w:rPr>
            </w:pPr>
            <w:r>
              <w:rPr>
                <w:rFonts w:ascii="仿宋_GB2312" w:hAnsi="仿宋_GB2312" w:eastAsia="仿宋_GB2312" w:cs="仿宋_GB2312"/>
                <w:b w:val="0"/>
                <w:bCs w:val="0"/>
                <w:color w:val="000000"/>
                <w:sz w:val="28"/>
                <w:szCs w:val="28"/>
              </w:rPr>
              <w:t>男</w:t>
            </w:r>
          </w:p>
        </w:tc>
        <w:tc>
          <w:tcPr>
            <w:tcW w:w="1511" w:type="dxa"/>
            <w:vAlign w:val="center"/>
          </w:tcPr>
          <w:p w14:paraId="55469A79">
            <w:pPr>
              <w:spacing w:before="27"/>
              <w:jc w:val="center"/>
              <w:rPr>
                <w:rFonts w:hint="eastAsia"/>
                <w:vertAlign w:val="baseline"/>
                <w:lang w:val="en-US" w:eastAsia="zh-CN"/>
              </w:rPr>
            </w:pPr>
            <w:r>
              <w:rPr>
                <w:rFonts w:ascii="仿宋_GB2312" w:hAnsi="仿宋_GB2312" w:eastAsia="仿宋_GB2312" w:cs="仿宋_GB2312"/>
                <w:b w:val="0"/>
                <w:bCs w:val="0"/>
                <w:color w:val="000000"/>
                <w:sz w:val="28"/>
                <w:szCs w:val="28"/>
              </w:rPr>
              <w:t>共青团员</w:t>
            </w:r>
          </w:p>
        </w:tc>
        <w:tc>
          <w:tcPr>
            <w:tcW w:w="1956" w:type="dxa"/>
            <w:vAlign w:val="center"/>
          </w:tcPr>
          <w:p w14:paraId="7C36EE73">
            <w:pPr>
              <w:spacing w:before="27"/>
              <w:jc w:val="center"/>
              <w:rPr>
                <w:rFonts w:hint="default"/>
                <w:vertAlign w:val="baseline"/>
                <w:lang w:val="en-US" w:eastAsia="zh-CN"/>
              </w:rPr>
            </w:pPr>
            <w:r>
              <w:rPr>
                <w:rFonts w:hint="eastAsia" w:ascii="仿宋_GB2312" w:hAnsi="仿宋_GB2312" w:eastAsia="仿宋_GB2312" w:cs="仿宋_GB2312"/>
                <w:b w:val="0"/>
                <w:bCs w:val="0"/>
                <w:color w:val="000000"/>
                <w:sz w:val="28"/>
                <w:szCs w:val="28"/>
                <w:lang w:val="en-US" w:eastAsia="zh-CN"/>
              </w:rPr>
              <w:t>管理学院</w:t>
            </w:r>
          </w:p>
        </w:tc>
        <w:tc>
          <w:tcPr>
            <w:tcW w:w="2622" w:type="dxa"/>
            <w:vAlign w:val="center"/>
          </w:tcPr>
          <w:p w14:paraId="7DC1518B">
            <w:pPr>
              <w:spacing w:before="27"/>
              <w:jc w:val="center"/>
              <w:rPr>
                <w:rFonts w:hint="eastAsia"/>
                <w:vertAlign w:val="baseline"/>
                <w:lang w:val="en-US" w:eastAsia="zh-CN"/>
              </w:rPr>
            </w:pPr>
            <w:r>
              <w:rPr>
                <w:rFonts w:ascii="仿宋_GB2312" w:hAnsi="仿宋_GB2312" w:eastAsia="仿宋_GB2312" w:cs="仿宋_GB2312"/>
                <w:b w:val="0"/>
                <w:bCs w:val="0"/>
                <w:color w:val="000000"/>
                <w:sz w:val="28"/>
                <w:szCs w:val="28"/>
              </w:rPr>
              <w:t>新疆维吾尔自治区</w:t>
            </w:r>
          </w:p>
        </w:tc>
      </w:tr>
      <w:tr w14:paraId="2209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162DA649">
            <w:pPr>
              <w:spacing w:before="27"/>
              <w:jc w:val="center"/>
              <w:rPr>
                <w:rFonts w:hint="default"/>
                <w:sz w:val="28"/>
                <w:szCs w:val="36"/>
                <w:vertAlign w:val="baseline"/>
                <w:lang w:val="en-US" w:eastAsia="zh-CN"/>
              </w:rPr>
            </w:pPr>
            <w:r>
              <w:rPr>
                <w:rFonts w:hint="eastAsia"/>
                <w:sz w:val="28"/>
                <w:szCs w:val="36"/>
                <w:vertAlign w:val="baseline"/>
                <w:lang w:val="en-US" w:eastAsia="zh-CN"/>
              </w:rPr>
              <w:t>2</w:t>
            </w:r>
          </w:p>
        </w:tc>
        <w:tc>
          <w:tcPr>
            <w:tcW w:w="1600" w:type="dxa"/>
            <w:vAlign w:val="center"/>
          </w:tcPr>
          <w:p w14:paraId="05A28202">
            <w:pPr>
              <w:spacing w:before="27"/>
              <w:jc w:val="center"/>
              <w:rPr>
                <w:rFonts w:hint="eastAsia"/>
                <w:vertAlign w:val="baseline"/>
                <w:lang w:val="en-US" w:eastAsia="zh-CN"/>
              </w:rPr>
            </w:pPr>
            <w:r>
              <w:rPr>
                <w:rFonts w:ascii="仿宋_GB2312" w:hAnsi="仿宋_GB2312" w:eastAsia="仿宋_GB2312" w:cs="仿宋_GB2312"/>
                <w:b w:val="0"/>
                <w:bCs w:val="0"/>
                <w:color w:val="000000"/>
                <w:sz w:val="28"/>
                <w:szCs w:val="28"/>
              </w:rPr>
              <w:t>廖爱银</w:t>
            </w:r>
          </w:p>
        </w:tc>
        <w:tc>
          <w:tcPr>
            <w:tcW w:w="700" w:type="dxa"/>
            <w:vAlign w:val="center"/>
          </w:tcPr>
          <w:p w14:paraId="359B71F1">
            <w:pPr>
              <w:spacing w:before="27"/>
              <w:jc w:val="center"/>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女</w:t>
            </w:r>
          </w:p>
        </w:tc>
        <w:tc>
          <w:tcPr>
            <w:tcW w:w="1511" w:type="dxa"/>
            <w:vAlign w:val="center"/>
          </w:tcPr>
          <w:p w14:paraId="29BF8CA8">
            <w:pPr>
              <w:keepNext w:val="0"/>
              <w:keepLines w:val="0"/>
              <w:pageBreakBefore w:val="0"/>
              <w:widowControl w:val="0"/>
              <w:kinsoku/>
              <w:wordWrap/>
              <w:overflowPunct/>
              <w:topLinePunct w:val="0"/>
              <w:autoSpaceDE/>
              <w:autoSpaceDN/>
              <w:bidi w:val="0"/>
              <w:adjustRightInd/>
              <w:snapToGrid/>
              <w:spacing w:before="27" w:line="400" w:lineRule="exact"/>
              <w:jc w:val="center"/>
              <w:textAlignment w:val="auto"/>
              <w:rPr>
                <w:rFonts w:hint="eastAsia"/>
                <w:vertAlign w:val="baseline"/>
                <w:lang w:val="en-US" w:eastAsia="zh-CN"/>
              </w:rPr>
            </w:pPr>
            <w:r>
              <w:rPr>
                <w:rFonts w:ascii="仿宋_GB2312" w:hAnsi="仿宋_GB2312" w:eastAsia="仿宋_GB2312" w:cs="仿宋_GB2312"/>
                <w:b w:val="0"/>
                <w:bCs w:val="0"/>
                <w:color w:val="000000"/>
                <w:sz w:val="28"/>
                <w:szCs w:val="28"/>
              </w:rPr>
              <w:t>共青团员</w:t>
            </w:r>
          </w:p>
        </w:tc>
        <w:tc>
          <w:tcPr>
            <w:tcW w:w="1956" w:type="dxa"/>
            <w:vAlign w:val="center"/>
          </w:tcPr>
          <w:p w14:paraId="14614444">
            <w:pPr>
              <w:keepNext w:val="0"/>
              <w:keepLines w:val="0"/>
              <w:pageBreakBefore w:val="0"/>
              <w:widowControl w:val="0"/>
              <w:kinsoku/>
              <w:wordWrap/>
              <w:overflowPunct/>
              <w:topLinePunct w:val="0"/>
              <w:autoSpaceDE/>
              <w:autoSpaceDN/>
              <w:bidi w:val="0"/>
              <w:adjustRightInd/>
              <w:snapToGrid/>
              <w:spacing w:before="27" w:line="400" w:lineRule="exact"/>
              <w:jc w:val="center"/>
              <w:textAlignment w:val="auto"/>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电子电气工程学院</w:t>
            </w:r>
          </w:p>
        </w:tc>
        <w:tc>
          <w:tcPr>
            <w:tcW w:w="2622" w:type="dxa"/>
            <w:vAlign w:val="center"/>
          </w:tcPr>
          <w:p w14:paraId="511C0B58">
            <w:pPr>
              <w:spacing w:before="27"/>
              <w:jc w:val="center"/>
              <w:rPr>
                <w:rFonts w:hint="eastAsia"/>
                <w:vertAlign w:val="baseline"/>
                <w:lang w:val="en-US" w:eastAsia="zh-CN"/>
              </w:rPr>
            </w:pPr>
            <w:r>
              <w:rPr>
                <w:rFonts w:ascii="仿宋_GB2312" w:hAnsi="仿宋_GB2312" w:eastAsia="仿宋_GB2312" w:cs="仿宋_GB2312"/>
                <w:b w:val="0"/>
                <w:bCs w:val="0"/>
                <w:color w:val="000000"/>
                <w:sz w:val="28"/>
                <w:szCs w:val="28"/>
              </w:rPr>
              <w:t>重庆市</w:t>
            </w:r>
          </w:p>
        </w:tc>
      </w:tr>
      <w:tr w14:paraId="1786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vAlign w:val="center"/>
          </w:tcPr>
          <w:p w14:paraId="54ED6E82">
            <w:pPr>
              <w:spacing w:before="27"/>
              <w:jc w:val="center"/>
              <w:rPr>
                <w:rFonts w:hint="default"/>
                <w:sz w:val="28"/>
                <w:szCs w:val="36"/>
                <w:vertAlign w:val="baseline"/>
                <w:lang w:val="en-US" w:eastAsia="zh-CN"/>
              </w:rPr>
            </w:pPr>
            <w:r>
              <w:rPr>
                <w:rFonts w:hint="eastAsia"/>
                <w:sz w:val="28"/>
                <w:szCs w:val="36"/>
                <w:vertAlign w:val="baseline"/>
                <w:lang w:val="en-US" w:eastAsia="zh-CN"/>
              </w:rPr>
              <w:t>3</w:t>
            </w:r>
          </w:p>
        </w:tc>
        <w:tc>
          <w:tcPr>
            <w:tcW w:w="1600" w:type="dxa"/>
            <w:vAlign w:val="center"/>
          </w:tcPr>
          <w:p w14:paraId="5E849CA3">
            <w:pPr>
              <w:spacing w:before="27"/>
              <w:jc w:val="center"/>
              <w:rPr>
                <w:rFonts w:hint="default"/>
                <w:vertAlign w:val="baseline"/>
                <w:lang w:val="en-US" w:eastAsia="zh-CN"/>
              </w:rPr>
            </w:pPr>
            <w:r>
              <w:rPr>
                <w:rFonts w:ascii="仿宋_GB2312" w:hAnsi="仿宋_GB2312" w:eastAsia="仿宋_GB2312" w:cs="仿宋_GB2312"/>
                <w:b w:val="0"/>
                <w:bCs w:val="0"/>
                <w:color w:val="000000"/>
                <w:sz w:val="28"/>
                <w:szCs w:val="28"/>
              </w:rPr>
              <w:t>何玉宏</w:t>
            </w:r>
          </w:p>
        </w:tc>
        <w:tc>
          <w:tcPr>
            <w:tcW w:w="700" w:type="dxa"/>
            <w:vAlign w:val="center"/>
          </w:tcPr>
          <w:p w14:paraId="508B8E8F">
            <w:pPr>
              <w:spacing w:before="27"/>
              <w:jc w:val="center"/>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男</w:t>
            </w:r>
          </w:p>
        </w:tc>
        <w:tc>
          <w:tcPr>
            <w:tcW w:w="1511" w:type="dxa"/>
            <w:vAlign w:val="center"/>
          </w:tcPr>
          <w:p w14:paraId="3F5F693B">
            <w:pPr>
              <w:spacing w:before="27"/>
              <w:jc w:val="center"/>
              <w:rPr>
                <w:rFonts w:hint="default"/>
                <w:vertAlign w:val="baseline"/>
                <w:lang w:val="en-US" w:eastAsia="zh-CN"/>
              </w:rPr>
            </w:pPr>
            <w:r>
              <w:rPr>
                <w:rFonts w:ascii="仿宋_GB2312" w:hAnsi="仿宋_GB2312" w:eastAsia="仿宋_GB2312" w:cs="仿宋_GB2312"/>
                <w:b w:val="0"/>
                <w:bCs w:val="0"/>
                <w:color w:val="000000"/>
                <w:sz w:val="28"/>
                <w:szCs w:val="28"/>
              </w:rPr>
              <w:t>共青团员</w:t>
            </w:r>
          </w:p>
        </w:tc>
        <w:tc>
          <w:tcPr>
            <w:tcW w:w="1956" w:type="dxa"/>
            <w:vAlign w:val="center"/>
          </w:tcPr>
          <w:p w14:paraId="069A0A2A">
            <w:pPr>
              <w:spacing w:before="27"/>
              <w:jc w:val="center"/>
              <w:rPr>
                <w:rFonts w:hint="default"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val="0"/>
                <w:bCs w:val="0"/>
                <w:color w:val="000000"/>
                <w:sz w:val="28"/>
                <w:szCs w:val="28"/>
                <w:lang w:val="en-US" w:eastAsia="zh-CN"/>
              </w:rPr>
              <w:t>化学化工学院</w:t>
            </w:r>
          </w:p>
        </w:tc>
        <w:tc>
          <w:tcPr>
            <w:tcW w:w="2622" w:type="dxa"/>
            <w:vAlign w:val="center"/>
          </w:tcPr>
          <w:p w14:paraId="2FB36B01">
            <w:pPr>
              <w:spacing w:before="27"/>
              <w:jc w:val="center"/>
              <w:rPr>
                <w:rFonts w:hint="default"/>
                <w:vertAlign w:val="baseline"/>
                <w:lang w:val="en-US" w:eastAsia="zh-CN"/>
              </w:rPr>
            </w:pPr>
            <w:r>
              <w:rPr>
                <w:rFonts w:ascii="仿宋_GB2312" w:hAnsi="仿宋_GB2312" w:eastAsia="仿宋_GB2312" w:cs="仿宋_GB2312"/>
                <w:b w:val="0"/>
                <w:bCs w:val="0"/>
                <w:color w:val="000000"/>
                <w:sz w:val="28"/>
                <w:szCs w:val="28"/>
              </w:rPr>
              <w:t>四川省</w:t>
            </w:r>
          </w:p>
        </w:tc>
      </w:tr>
    </w:tbl>
    <w:p w14:paraId="175B38E4">
      <w:pPr>
        <w:spacing w:before="27"/>
      </w:pPr>
    </w:p>
    <w:p w14:paraId="5BA1CF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5875DB8"/>
    <w:rsid w:val="02896E91"/>
    <w:rsid w:val="05875DB8"/>
    <w:rsid w:val="12681F22"/>
    <w:rsid w:val="146543D9"/>
    <w:rsid w:val="1824372C"/>
    <w:rsid w:val="18C9016F"/>
    <w:rsid w:val="1D2C184D"/>
    <w:rsid w:val="4D5D5D13"/>
    <w:rsid w:val="56CC5E2E"/>
    <w:rsid w:val="6DF710E0"/>
    <w:rsid w:val="7C9D7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iPriority w:val="0"/>
    <w:rPr>
      <w:color w:val="0000FF"/>
      <w:u w:val="single"/>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仿宋" w:hAnsi="仿宋" w:eastAsia="仿宋" w:cs="仿宋"/>
      <w:sz w:val="28"/>
      <w:szCs w:val="28"/>
      <w:lang w:val="en-US" w:eastAsia="en-US" w:bidi="ar-SA"/>
    </w:rPr>
  </w:style>
  <w:style w:type="character" w:customStyle="1" w:styleId="8">
    <w:name w:val="font21"/>
    <w:basedOn w:val="4"/>
    <w:uiPriority w:val="0"/>
    <w:rPr>
      <w:rFonts w:hint="default" w:ascii="Times New Roman" w:hAnsi="Times New Roman" w:cs="Times New Roman"/>
      <w:color w:val="000000"/>
      <w:sz w:val="24"/>
      <w:szCs w:val="24"/>
      <w:u w:val="none"/>
    </w:rPr>
  </w:style>
  <w:style w:type="character" w:customStyle="1" w:styleId="9">
    <w:name w:val="font31"/>
    <w:basedOn w:val="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551</Words>
  <Characters>616</Characters>
  <Lines>0</Lines>
  <Paragraphs>0</Paragraphs>
  <TotalTime>11</TotalTime>
  <ScaleCrop>false</ScaleCrop>
  <LinksUpToDate>false</LinksUpToDate>
  <CharactersWithSpaces>620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2024-06-12T00:50:00Z</dcterms:created>
  <dc:creator>靓靓</dc:creator>
  <cp:lastModifiedBy>gdyb2</cp:lastModifiedBy>
  <cp:lastPrinted>2024-06-12T00:53:00Z</cp:lastPrinted>
  <dcterms:modified xsi:type="dcterms:W3CDTF">2025-12-08T07:11:14Z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8A9BA15A5A90466E9289E687EC81B623_13</vt:lpwstr>
  </property>
  <property fmtid="{D5CDD505-2E9C-101B-9397-08002B2CF9AE}" pid="4" name="KSOTemplateDocerSaveRecord">
    <vt:lpwstr>eyJoZGlkIjoiOTRmMTlhZDdlM2IwYmU5OTY2MzI1OWFhNTBiNGE1ODQiLCJ1c2VySWQiOiIxNjk1MTg5OTYxIn0=</vt:lpwstr>
  </property>
</Properties>
</file>